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thinThickLargeGap" w:sz="12" w:space="1" w:color="000000"/>
          <w:left w:val="thinThickLargeGap" w:sz="12" w:space="2" w:color="000000"/>
          <w:bottom w:val="thickThinLargeGap" w:sz="12" w:space="1" w:color="000000"/>
          <w:right w:val="thickThinLargeGap" w:sz="12" w:space="4" w:color="000000"/>
        </w:pBdr>
        <w:bidi w:val="0"/>
        <w:jc w:val="both"/>
        <w:rPr/>
      </w:pPr>
      <w:r>
        <w:br w:type="page"/>
      </w:r>
      <w:r>
        <w:rPr>
          <w:b/>
          <w:sz w:val="26"/>
          <w:szCs w:val="26"/>
          <w:u w:val="single"/>
        </w:rPr>
        <w:t>A</w:t>
      </w:r>
      <w:r>
        <w:rPr>
          <w:rFonts w:eastAsia="Times New Roman" w:cs="Times New Roman"/>
          <w:b/>
          <w:color w:val="auto"/>
          <w:kern w:val="0"/>
          <w:sz w:val="26"/>
          <w:szCs w:val="26"/>
          <w:u w:val="single"/>
          <w:lang w:val="fr-FR" w:eastAsia="fr-FR" w:bidi="ar-SA"/>
        </w:rPr>
        <w:t>nnexe</w:t>
      </w:r>
      <w:r>
        <w:rPr>
          <w:b/>
          <w:sz w:val="26"/>
          <w:szCs w:val="26"/>
          <w:u w:val="single"/>
        </w:rPr>
        <w:t xml:space="preserve"> </w:t>
      </w:r>
      <w:r>
        <w:rPr>
          <w:rFonts w:eastAsia="Times New Roman" w:cs="Times New Roman"/>
          <w:b/>
          <w:color w:val="auto"/>
          <w:kern w:val="0"/>
          <w:sz w:val="26"/>
          <w:szCs w:val="26"/>
          <w:u w:val="single"/>
          <w:lang w:val="fr-FR" w:eastAsia="fr-FR" w:bidi="ar-SA"/>
        </w:rPr>
        <w:t>3</w:t>
      </w:r>
      <w:r>
        <w:rPr>
          <w:b/>
          <w:sz w:val="26"/>
          <w:szCs w:val="26"/>
          <w:u w:val="single"/>
        </w:rPr>
        <w:t xml:space="preserve"> Recensement des </w:t>
      </w:r>
      <w:r>
        <w:rPr>
          <w:b/>
          <w:color w:val="000000"/>
          <w:sz w:val="26"/>
          <w:szCs w:val="26"/>
          <w:u w:val="single"/>
        </w:rPr>
        <w:t>personnes ayant besoin de connaître du contenu de la liste des</w:t>
      </w:r>
      <w:r>
        <w:rPr>
          <w:rFonts w:eastAsia="Times New Roman" w:cs="Times New Roman"/>
          <w:b/>
          <w:color w:val="000000"/>
          <w:kern w:val="0"/>
          <w:sz w:val="26"/>
          <w:szCs w:val="26"/>
          <w:u w:val="single"/>
          <w:lang w:val="fr-FR" w:eastAsia="fr-FR" w:bidi="ar-SA"/>
        </w:rPr>
        <w:t xml:space="preserve"> matières explosives </w:t>
      </w:r>
      <w:r>
        <w:rPr>
          <w:rStyle w:val="Policepardfaut"/>
          <w:rFonts w:eastAsia="Times New Roman" w:cs="Times New Roman"/>
          <w:b/>
          <w:color w:val="000000"/>
          <w:kern w:val="0"/>
          <w:sz w:val="26"/>
          <w:szCs w:val="24"/>
          <w:u w:val="single"/>
          <w:lang w:val="fr-FR" w:eastAsia="zh-CN" w:bidi="ar-SA"/>
        </w:rPr>
        <w:t>mentionnées aux articles R. 1632-11 du code des transports et R. 613-16-6 du code la sécurité intérieure</w:t>
      </w:r>
    </w:p>
    <w:p>
      <w:pPr>
        <w:pStyle w:val="Corpsdetexte"/>
        <w:bidi w:val="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Corpsdetexte"/>
        <w:bidi w:val="0"/>
        <w:jc w:val="both"/>
        <w:rPr/>
      </w:pPr>
      <w:r>
        <w:rPr>
          <w:color w:val="000000"/>
          <w:szCs w:val="24"/>
          <w:lang w:eastAsia="zh-CN"/>
        </w:rPr>
        <w:t xml:space="preserve">Conformément à l’article 4 de l’arrêté </w:t>
      </w:r>
      <w:r>
        <w:rPr>
          <w:color w:val="000000"/>
          <w:szCs w:val="24"/>
          <w:shd w:fill="auto" w:val="clear"/>
          <w:lang w:eastAsia="zh-CN"/>
        </w:rPr>
        <w:t>du 22 août 2022</w:t>
      </w:r>
      <w:r>
        <w:rPr>
          <w:color w:val="000000"/>
          <w:szCs w:val="24"/>
          <w:lang w:eastAsia="zh-CN"/>
        </w:rPr>
        <w:t xml:space="preserve"> </w:t>
      </w:r>
      <w:r>
        <w:rPr>
          <w:rStyle w:val="Policepardfaut"/>
          <w:color w:val="000000"/>
          <w:szCs w:val="24"/>
          <w:lang w:eastAsia="zh-CN"/>
        </w:rPr>
        <w:t>fixant la liste des matières explosives mentionnées aux articles R. 1632-11 du code des transports et R. 613-16-6 du code la sécurité intérieure et les modalités d</w:t>
      </w:r>
      <w:r>
        <w:rPr>
          <w:rStyle w:val="Policepardfaut"/>
          <w:rFonts w:cs="Times New Roman"/>
          <w:color w:val="auto"/>
          <w:szCs w:val="24"/>
          <w:lang w:eastAsia="zh-CN" w:bidi="ar-SA"/>
        </w:rPr>
        <w:t>’accès au contenu de cette liste</w:t>
      </w:r>
      <w:r>
        <w:rPr>
          <w:color w:val="000000"/>
          <w:szCs w:val="24"/>
          <w:lang w:eastAsia="zh-CN"/>
        </w:rPr>
        <w:t>, l</w:t>
      </w:r>
      <w:r>
        <w:rPr>
          <w:color w:val="000000"/>
        </w:rPr>
        <w:t xml:space="preserve">’opérateur économique doit actualiser la présente annexe en déclarant les identités des nouveaux salariés ou de toute nouvelle personne ayant vocation à connaître le contenu de la liste, préalablement à leur accès, au service central des armes et explosifs dans un délai d’un mois maximum consécutif à leur embauche. Il doit également informer le service central des armes et explosifs des personnes initialement recensées </w:t>
      </w:r>
      <w:r>
        <w:rPr>
          <w:color w:val="000000"/>
        </w:rPr>
        <w:t>d</w:t>
      </w:r>
      <w:r>
        <w:rPr>
          <w:color w:val="000000"/>
        </w:rPr>
        <w:t xml:space="preserve">ans la présente annexe, ne travaillant plus pour lui et ce dans un délai d’un mois après la fin de contrat. </w:t>
      </w:r>
    </w:p>
    <w:p>
      <w:pPr>
        <w:pStyle w:val="Titre2"/>
        <w:bidi w:val="0"/>
        <w:ind w:left="0" w:right="0" w:hanging="0"/>
        <w:jc w:val="both"/>
        <w:rPr/>
      </w:pPr>
      <w:r>
        <w:rPr/>
        <w:t>A titre d</w:t>
      </w:r>
      <w:r>
        <w:rPr>
          <w:color w:val="000000"/>
        </w:rPr>
        <w:t xml:space="preserve">’illustrations non exhaustives, </w:t>
      </w:r>
      <w:r>
        <w:rPr>
          <w:color w:val="000000"/>
          <w:u w:val="single"/>
        </w:rPr>
        <w:t>les identités des personnes suivantes doivent être impérativement recensées dans le présent tableau </w:t>
      </w:r>
      <w:r>
        <w:rPr>
          <w:color w:val="000000"/>
        </w:rPr>
        <w:t xml:space="preserve">: </w:t>
      </w:r>
    </w:p>
    <w:p>
      <w:pPr>
        <w:pStyle w:val="Corpsdetexte"/>
        <w:bidi w:val="0"/>
        <w:jc w:val="both"/>
        <w:rPr/>
      </w:pPr>
      <w:r>
        <w:rPr/>
        <w:t>1° Les agents composant les équipes cynotechniques privées certifiées, en cours de certification ou ayant vocation à être certifiées par le centre national de certification en cynodétection des explosifs ;</w:t>
      </w:r>
    </w:p>
    <w:p>
      <w:pPr>
        <w:pStyle w:val="Corpsdetexte"/>
        <w:bidi w:val="0"/>
        <w:jc w:val="both"/>
        <w:rPr/>
      </w:pPr>
      <w:r>
        <w:rPr/>
        <w:t>2° Les salariés ayant besoin de connaître le contenu de la liste de part les fonctions qu</w:t>
      </w:r>
      <w:r>
        <w:rPr>
          <w:rFonts w:eastAsia="Times New Roman" w:cs="Times New Roman"/>
          <w:color w:val="auto"/>
          <w:kern w:val="0"/>
          <w:sz w:val="24"/>
          <w:szCs w:val="20"/>
          <w:lang w:val="fr-FR" w:eastAsia="fr-FR" w:bidi="ar-SA"/>
        </w:rPr>
        <w:t xml:space="preserve">’ils occupent telles que les fonctions achat, budgétaire ou en lien avec le stockage des matières explosives </w:t>
      </w:r>
      <w:r>
        <w:rPr>
          <w:color w:val="000000"/>
        </w:rPr>
        <w:t>;</w:t>
      </w:r>
    </w:p>
    <w:p>
      <w:pPr>
        <w:pStyle w:val="Corpsdetexte"/>
        <w:bidi w:val="0"/>
        <w:jc w:val="both"/>
        <w:rPr/>
      </w:pPr>
      <w:r>
        <w:rPr/>
        <w:t xml:space="preserve">3° Les </w:t>
      </w:r>
      <w:r>
        <w:rPr>
          <w:color w:val="000000"/>
          <w:szCs w:val="24"/>
          <w:lang w:eastAsia="zh-CN"/>
        </w:rPr>
        <w:t>formateurs en cyno-détection ;</w:t>
      </w:r>
    </w:p>
    <w:p>
      <w:pPr>
        <w:pStyle w:val="Corpsdetexte"/>
        <w:bidi w:val="0"/>
        <w:jc w:val="both"/>
        <w:rPr/>
      </w:pPr>
      <w:r>
        <w:rPr/>
        <w:t>4°  Les représentants légaux de l</w:t>
      </w:r>
      <w:r>
        <w:rPr>
          <w:color w:val="000000"/>
        </w:rPr>
        <w:t xml:space="preserve">’opérateur économique ; </w:t>
      </w:r>
    </w:p>
    <w:p>
      <w:pPr>
        <w:pStyle w:val="Corpsdetexte"/>
        <w:bidi w:val="0"/>
        <w:jc w:val="both"/>
        <w:rPr/>
      </w:pPr>
      <w:r>
        <w:rPr/>
        <w:t xml:space="preserve">5° Les agents </w:t>
      </w:r>
      <w:r>
        <w:rPr>
          <w:color w:val="000000"/>
        </w:rPr>
        <w:t>chargés de la réalisation d’un</w:t>
      </w:r>
      <w:r>
        <w:rPr/>
        <w:t xml:space="preserve"> audit ou d’une certification ;</w:t>
      </w:r>
    </w:p>
    <w:p>
      <w:pPr>
        <w:pStyle w:val="Corpsdetexte"/>
        <w:bidi w:val="0"/>
        <w:jc w:val="both"/>
        <w:rPr/>
      </w:pPr>
      <w:r>
        <w:rPr/>
        <w:t>6° Toute autre personne qui accédant au contenu de la liste des matières explosives représenterait un potentiel risque de détournement et d</w:t>
      </w:r>
      <w:r>
        <w:rPr>
          <w:color w:val="000000"/>
        </w:rPr>
        <w:t>’utilisation malveillante de ladite liste.</w:t>
      </w:r>
    </w:p>
    <w:p>
      <w:pPr>
        <w:sectPr>
          <w:headerReference w:type="default" r:id="rId2"/>
          <w:type w:val="continuous"/>
          <w:pgSz w:w="11906" w:h="16838"/>
          <w:pgMar w:left="1134" w:right="1134" w:header="1134" w:top="1927" w:footer="0" w:bottom="1134" w:gutter="0"/>
          <w:formProt w:val="true"/>
          <w:textDirection w:val="lrTb"/>
          <w:docGrid w:type="default" w:linePitch="600" w:charSpace="32768"/>
        </w:sectPr>
      </w:pPr>
    </w:p>
    <w:p>
      <w:pPr>
        <w:pStyle w:val="Corpsdetexte"/>
        <w:bidi w:val="0"/>
        <w:jc w:val="both"/>
        <w:rPr>
          <w:color w:val="000000"/>
        </w:rPr>
      </w:pPr>
      <w:r>
        <w:rPr>
          <w:color w:val="000000"/>
        </w:rPr>
      </w:r>
    </w:p>
    <w:p>
      <w:pPr>
        <w:pStyle w:val="Corpsdetexte"/>
        <w:bidi w:val="0"/>
        <w:jc w:val="both"/>
        <w:rPr>
          <w:color w:val="000000"/>
        </w:rPr>
      </w:pPr>
      <w:r>
        <w:rPr>
          <w:color w:val="000000"/>
        </w:rPr>
      </w:r>
    </w:p>
    <w:p>
      <w:pPr>
        <w:pStyle w:val="Corpsdetexte"/>
        <w:bidi w:val="0"/>
        <w:jc w:val="both"/>
        <w:rPr>
          <w:color w:val="000000"/>
        </w:rPr>
      </w:pPr>
      <w:r>
        <w:rPr>
          <w:color w:val="000000"/>
        </w:rPr>
      </w:r>
    </w:p>
    <w:p>
      <w:pPr>
        <w:pStyle w:val="Corpsdetexte"/>
        <w:bidi w:val="0"/>
        <w:jc w:val="both"/>
        <w:rPr>
          <w:color w:val="000000"/>
        </w:rPr>
      </w:pPr>
      <w:r>
        <w:rPr>
          <w:color w:val="000000"/>
        </w:rPr>
      </w:r>
    </w:p>
    <w:p>
      <w:pPr>
        <w:pStyle w:val="Corpsdetexte"/>
        <w:bidi w:val="0"/>
        <w:jc w:val="both"/>
        <w:rPr>
          <w:color w:val="000000"/>
        </w:rPr>
      </w:pPr>
      <w:r>
        <w:rPr>
          <w:color w:val="000000"/>
        </w:rPr>
      </w:r>
    </w:p>
    <w:p>
      <w:pPr>
        <w:pStyle w:val="Corpsdetexte"/>
        <w:bidi w:val="0"/>
        <w:jc w:val="both"/>
        <w:rPr>
          <w:color w:val="000000"/>
        </w:rPr>
      </w:pPr>
      <w:r>
        <w:rPr>
          <w:color w:val="000000"/>
        </w:rPr>
      </w:r>
    </w:p>
    <w:p>
      <w:pPr>
        <w:pStyle w:val="Corpsdetexte"/>
        <w:bidi w:val="0"/>
        <w:jc w:val="both"/>
        <w:rPr>
          <w:color w:val="000000"/>
        </w:rPr>
      </w:pPr>
      <w:r>
        <w:rPr>
          <w:color w:val="000000"/>
        </w:rPr>
      </w:r>
    </w:p>
    <w:p>
      <w:pPr>
        <w:pStyle w:val="Corpsdetexte"/>
        <w:bidi w:val="0"/>
        <w:jc w:val="both"/>
        <w:rPr>
          <w:color w:val="000000"/>
        </w:rPr>
      </w:pPr>
      <w:r>
        <w:rPr>
          <w:color w:val="000000"/>
        </w:rPr>
      </w:r>
    </w:p>
    <w:p>
      <w:pPr>
        <w:pStyle w:val="Corpsdetexte"/>
        <w:bidi w:val="0"/>
        <w:jc w:val="both"/>
        <w:rPr>
          <w:color w:val="000000"/>
        </w:rPr>
      </w:pPr>
      <w:r>
        <w:rPr>
          <w:color w:val="000000"/>
        </w:rPr>
      </w:r>
    </w:p>
    <w:p>
      <w:pPr>
        <w:pStyle w:val="Titre2"/>
        <w:bidi w:val="0"/>
        <w:ind w:left="0" w:right="0" w:hanging="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bidi w:val="0"/>
        <w:jc w:val="both"/>
        <w:rPr>
          <w:b/>
          <w:b/>
          <w:u w:val="single"/>
        </w:rPr>
      </w:pPr>
      <w:r>
        <w:rPr>
          <w:b/>
          <w:u w:val="single"/>
        </w:rPr>
      </w:r>
    </w:p>
    <w:tbl>
      <w:tblPr>
        <w:tblW w:w="9638" w:type="dxa"/>
        <w:jc w:val="center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09"/>
        <w:gridCol w:w="848"/>
        <w:gridCol w:w="1074"/>
        <w:gridCol w:w="2015"/>
        <w:gridCol w:w="1112"/>
        <w:gridCol w:w="1154"/>
        <w:gridCol w:w="1398"/>
        <w:gridCol w:w="1128"/>
      </w:tblGrid>
      <w:tr>
        <w:trPr/>
        <w:tc>
          <w:tcPr>
            <w:tcW w:w="90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Titredetableau"/>
              <w:widowControl w:val="false"/>
              <w:bidi w:val="0"/>
              <w:spacing w:before="0" w:after="120"/>
              <w:jc w:val="both"/>
              <w:rPr/>
            </w:pPr>
            <w:r>
              <w:rPr/>
              <w:t>Nom</w:t>
            </w:r>
          </w:p>
        </w:tc>
        <w:tc>
          <w:tcPr>
            <w:tcW w:w="84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>
            <w:pPr>
              <w:pStyle w:val="Titredetableau"/>
              <w:widowControl w:val="false"/>
              <w:bidi w:val="0"/>
              <w:spacing w:before="0" w:after="120"/>
              <w:jc w:val="both"/>
              <w:rPr/>
            </w:pPr>
            <w:r>
              <w:rPr/>
              <w:t>Nom d’usage</w:t>
            </w:r>
          </w:p>
        </w:tc>
        <w:tc>
          <w:tcPr>
            <w:tcW w:w="10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Titredetableau"/>
              <w:widowControl w:val="false"/>
              <w:bidi w:val="0"/>
              <w:spacing w:before="0" w:after="120"/>
              <w:jc w:val="both"/>
              <w:rPr/>
            </w:pPr>
            <w:r>
              <w:rPr/>
              <w:t>Prénoms</w:t>
            </w:r>
          </w:p>
        </w:tc>
        <w:tc>
          <w:tcPr>
            <w:tcW w:w="201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Titredetableau"/>
              <w:widowControl w:val="false"/>
              <w:bidi w:val="0"/>
              <w:spacing w:before="0" w:after="120"/>
              <w:jc w:val="both"/>
              <w:rPr/>
            </w:pPr>
            <w:r>
              <w:rPr/>
              <w:br/>
              <w:t>Fonction au sein de la personne morale (agents privés de sécurité, salariés, formateurs, représentant légal...)</w:t>
            </w:r>
          </w:p>
        </w:tc>
        <w:tc>
          <w:tcPr>
            <w:tcW w:w="111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Titredetableau"/>
              <w:widowControl w:val="false"/>
              <w:bidi w:val="0"/>
              <w:spacing w:before="0" w:after="120"/>
              <w:jc w:val="both"/>
              <w:rPr/>
            </w:pPr>
            <w:r>
              <w:rPr/>
              <w:br/>
              <w:t>Date  de naissance</w:t>
            </w:r>
          </w:p>
        </w:tc>
        <w:tc>
          <w:tcPr>
            <w:tcW w:w="115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Titredetableau"/>
              <w:widowControl w:val="false"/>
              <w:bidi w:val="0"/>
              <w:spacing w:before="0" w:after="120"/>
              <w:jc w:val="both"/>
              <w:rPr/>
            </w:pPr>
            <w:r>
              <w:rPr/>
              <w:br/>
              <w:t>Lieu</w:t>
              <w:br/>
              <w:t>de naissance</w:t>
            </w:r>
          </w:p>
        </w:tc>
        <w:tc>
          <w:tcPr>
            <w:tcW w:w="139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Titredetableau"/>
              <w:widowControl w:val="false"/>
              <w:bidi w:val="0"/>
              <w:spacing w:before="0" w:after="120"/>
              <w:jc w:val="both"/>
              <w:rPr/>
            </w:pPr>
            <w:r>
              <w:rPr/>
              <w:br/>
              <w:t>Nationalité</w:t>
            </w:r>
          </w:p>
        </w:tc>
        <w:tc>
          <w:tcPr>
            <w:tcW w:w="112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Titredetableau"/>
              <w:widowControl w:val="false"/>
              <w:bidi w:val="0"/>
              <w:spacing w:before="0" w:after="120"/>
              <w:jc w:val="both"/>
              <w:rPr/>
            </w:pPr>
            <w:r>
              <w:rPr/>
              <w:br/>
              <w:t>Adresse du domicile</w:t>
            </w:r>
          </w:p>
        </w:tc>
      </w:tr>
      <w:tr>
        <w:trPr/>
        <w:tc>
          <w:tcPr>
            <w:tcW w:w="90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bidi w:val="0"/>
              <w:spacing w:before="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8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bidi w:val="0"/>
              <w:spacing w:before="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bidi w:val="0"/>
              <w:spacing w:before="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1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1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bidi w:val="0"/>
              <w:spacing w:before="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bidi w:val="0"/>
              <w:spacing w:before="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bidi w:val="0"/>
              <w:spacing w:before="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bidi w:val="0"/>
              <w:spacing w:before="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0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bidi w:val="0"/>
              <w:spacing w:before="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8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bidi w:val="0"/>
              <w:spacing w:before="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bidi w:val="0"/>
              <w:spacing w:before="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1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1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bidi w:val="0"/>
              <w:spacing w:before="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bidi w:val="0"/>
              <w:spacing w:before="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bidi w:val="0"/>
              <w:spacing w:before="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bidi w:val="0"/>
              <w:spacing w:before="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0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bidi w:val="0"/>
              <w:spacing w:before="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8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bidi w:val="0"/>
              <w:spacing w:before="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bidi w:val="0"/>
              <w:spacing w:before="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1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bidi w:val="0"/>
              <w:spacing w:before="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1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bidi w:val="0"/>
              <w:spacing w:before="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bidi w:val="0"/>
              <w:spacing w:before="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bidi w:val="0"/>
              <w:spacing w:before="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bidi w:val="0"/>
              <w:spacing w:before="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0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bidi w:val="0"/>
              <w:spacing w:before="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8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bidi w:val="0"/>
              <w:spacing w:before="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bidi w:val="0"/>
              <w:spacing w:before="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1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bidi w:val="0"/>
              <w:spacing w:before="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1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bidi w:val="0"/>
              <w:spacing w:before="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bidi w:val="0"/>
              <w:spacing w:before="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bidi w:val="0"/>
              <w:spacing w:before="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bidi w:val="0"/>
              <w:spacing w:before="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bidi w:val="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bidi w:val="0"/>
        <w:jc w:val="left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bidi w:val="0"/>
        <w:jc w:val="left"/>
        <w:rPr>
          <w:b/>
          <w:b/>
          <w:u w:val="single"/>
        </w:rPr>
      </w:pPr>
      <w:r>
        <w:rPr>
          <w:b/>
          <w:u w:val="single"/>
        </w:rPr>
      </w:r>
    </w:p>
    <w:tbl>
      <w:tblPr>
        <w:tblW w:w="9581" w:type="dxa"/>
        <w:jc w:val="left"/>
        <w:tblInd w:w="-2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3"/>
        <w:gridCol w:w="4818"/>
      </w:tblGrid>
      <w:tr>
        <w:trPr/>
        <w:tc>
          <w:tcPr>
            <w:tcW w:w="4763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contextualSpacing/>
              <w:jc w:val="center"/>
              <w:rPr>
                <w:spacing w:val="20"/>
                <w:kern w:val="0"/>
                <w:sz w:val="20"/>
                <w:lang w:val="fr-FR" w:bidi="ar-SA"/>
              </w:rPr>
            </w:pPr>
            <w:r>
              <w:rPr>
                <w:spacing w:val="20"/>
                <w:kern w:val="0"/>
                <w:sz w:val="20"/>
                <w:lang w:val="fr-FR" w:bidi="ar-SA"/>
              </w:rPr>
              <w:t>Date et signature des Parties</w:t>
            </w:r>
          </w:p>
          <w:p/>
        </w:tc>
        <w:tc>
          <w:tcPr>
            <w:tcW w:w="4818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contextualSpacing/>
              <w:jc w:val="center"/>
              <w:rPr>
                <w:spacing w:val="20"/>
                <w:kern w:val="0"/>
                <w:sz w:val="20"/>
                <w:lang w:val="fr-FR" w:bidi="ar-SA"/>
              </w:rPr>
            </w:pPr>
            <w:r>
              <w:rPr>
                <w:spacing w:val="20"/>
                <w:kern w:val="0"/>
                <w:sz w:val="20"/>
                <w:lang w:val="fr-FR" w:bidi="ar-SA"/>
              </w:rPr>
              <w:t>Date et signature des Parties</w:t>
            </w:r>
          </w:p>
          <w:p/>
        </w:tc>
      </w:tr>
      <w:tr>
        <w:trPr/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120" w:after="0"/>
              <w:contextualSpacing/>
              <w:jc w:val="center"/>
              <w:rPr>
                <w:b/>
                <w:b/>
                <w:kern w:val="0"/>
                <w:lang w:val="fr-FR" w:bidi="ar-SA"/>
              </w:rPr>
            </w:pPr>
            <w:r>
              <w:rPr>
                <w:b/>
                <w:kern w:val="0"/>
                <w:lang w:val="fr-FR" w:bidi="ar-SA"/>
              </w:rPr>
              <w:t xml:space="preserve">Pour le </w:t>
            </w:r>
            <w:r>
              <w:rPr>
                <w:b/>
                <w:kern w:val="0"/>
                <w:lang w:val="fr-FR" w:bidi="ar-SA"/>
              </w:rPr>
              <w:t>Ministre de l’Intérieur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120" w:after="0"/>
              <w:contextualSpacing/>
              <w:jc w:val="center"/>
              <w:rPr>
                <w:b/>
                <w:b/>
                <w:kern w:val="0"/>
                <w:lang w:val="fr-FR" w:bidi="ar-SA"/>
              </w:rPr>
            </w:pPr>
            <w:r>
              <w:rPr>
                <w:b/>
                <w:kern w:val="0"/>
                <w:lang w:val="fr-FR" w:bidi="ar-SA"/>
              </w:rPr>
              <w:t>et des outre-mer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120" w:after="0"/>
              <w:contextualSpacing/>
              <w:jc w:val="center"/>
              <w:rPr>
                <w:b/>
                <w:b/>
                <w:kern w:val="0"/>
                <w:lang w:val="fr-FR" w:bidi="ar-SA"/>
              </w:rPr>
            </w:pPr>
            <w:r>
              <w:rPr>
                <w:b/>
                <w:kern w:val="0"/>
                <w:lang w:val="fr-FR" w:bidi="ar-SA"/>
              </w:rPr>
              <w:t>Le Chef du Service Central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120" w:after="0"/>
              <w:contextualSpacing/>
              <w:jc w:val="center"/>
              <w:rPr>
                <w:b/>
                <w:b/>
                <w:kern w:val="0"/>
                <w:lang w:val="fr-FR" w:bidi="ar-SA"/>
              </w:rPr>
            </w:pPr>
            <w:r>
              <w:rPr>
                <w:b/>
                <w:kern w:val="0"/>
                <w:lang w:val="fr-FR" w:bidi="ar-SA"/>
              </w:rPr>
              <w:t>des Armes et Explosifs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120"/>
              <w:ind w:left="1276" w:right="0" w:hanging="0"/>
              <w:contextualSpacing/>
              <w:jc w:val="left"/>
              <w:rPr>
                <w:b/>
                <w:b/>
                <w:kern w:val="0"/>
                <w:lang w:val="fr-FR" w:bidi="ar-SA"/>
              </w:rPr>
            </w:pPr>
            <w:r>
              <w:rPr>
                <w:b/>
                <w:kern w:val="0"/>
                <w:lang w:val="fr-FR" w:bidi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120"/>
              <w:ind w:left="1276" w:right="0" w:hanging="0"/>
              <w:contextualSpacing/>
              <w:jc w:val="left"/>
              <w:rPr>
                <w:b/>
                <w:b/>
                <w:kern w:val="0"/>
                <w:lang w:val="fr-FR" w:bidi="ar-SA"/>
              </w:rPr>
            </w:pPr>
            <w:r>
              <w:rPr>
                <w:b/>
                <w:kern w:val="0"/>
                <w:lang w:val="fr-FR" w:bidi="ar-SA"/>
              </w:rPr>
              <w:t xml:space="preserve">Le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120" w:after="120"/>
              <w:contextualSpacing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120" w:after="120"/>
              <w:contextualSpacing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120" w:after="120"/>
              <w:contextualSpacing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120" w:after="120"/>
              <w:contextualSpacing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120" w:after="120"/>
              <w:contextualSpacing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120" w:after="120"/>
              <w:contextualSpacing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120" w:after="12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120" w:after="0"/>
              <w:contextualSpacing/>
              <w:jc w:val="center"/>
              <w:rPr>
                <w:b/>
                <w:b/>
                <w:kern w:val="0"/>
                <w:lang w:val="fr-FR" w:bidi="ar-SA"/>
              </w:rPr>
            </w:pPr>
            <w:r>
              <w:rPr>
                <w:b/>
                <w:kern w:val="0"/>
                <w:lang w:val="fr-FR" w:bidi="ar-SA"/>
              </w:rPr>
              <w:t xml:space="preserve">Pour </w:t>
            </w:r>
            <w:r>
              <w:rPr>
                <w:b/>
                <w:kern w:val="0"/>
                <w:lang w:val="fr-FR" w:bidi="ar-SA"/>
              </w:rPr>
              <w:t>(dénomination de l’opérateur privé)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120"/>
              <w:ind w:left="1206" w:right="0" w:hanging="0"/>
              <w:contextualSpacing/>
              <w:jc w:val="left"/>
              <w:rPr>
                <w:b/>
                <w:b/>
                <w:kern w:val="0"/>
                <w:lang w:val="fr-FR" w:bidi="ar-SA"/>
              </w:rPr>
            </w:pPr>
            <w:r>
              <w:rPr>
                <w:b/>
                <w:kern w:val="0"/>
                <w:lang w:val="fr-FR" w:bidi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120"/>
              <w:ind w:left="1206" w:right="0" w:hanging="0"/>
              <w:contextualSpacing/>
              <w:jc w:val="left"/>
              <w:rPr>
                <w:b/>
                <w:b/>
                <w:kern w:val="0"/>
                <w:lang w:val="fr-FR" w:bidi="ar-SA"/>
              </w:rPr>
            </w:pPr>
            <w:r>
              <w:rPr>
                <w:b/>
                <w:kern w:val="0"/>
                <w:lang w:val="fr-FR" w:bidi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120"/>
              <w:ind w:left="1206" w:right="0" w:hanging="0"/>
              <w:contextualSpacing/>
              <w:jc w:val="left"/>
              <w:rPr>
                <w:b/>
                <w:b/>
                <w:kern w:val="0"/>
                <w:lang w:val="fr-FR" w:bidi="ar-SA"/>
              </w:rPr>
            </w:pPr>
            <w:r>
              <w:rPr>
                <w:b/>
                <w:kern w:val="0"/>
                <w:lang w:val="fr-FR" w:bidi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120"/>
              <w:ind w:left="1206" w:right="0" w:hanging="0"/>
              <w:contextualSpacing/>
              <w:jc w:val="left"/>
              <w:rPr>
                <w:b/>
                <w:b/>
                <w:kern w:val="0"/>
                <w:lang w:val="fr-FR" w:bidi="ar-SA"/>
              </w:rPr>
            </w:pPr>
            <w:r>
              <w:rPr>
                <w:b/>
                <w:kern w:val="0"/>
                <w:lang w:val="fr-FR" w:bidi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120"/>
              <w:ind w:left="1206" w:right="0" w:hanging="0"/>
              <w:contextualSpacing/>
              <w:jc w:val="left"/>
              <w:rPr>
                <w:b/>
                <w:b/>
                <w:kern w:val="0"/>
                <w:lang w:val="fr-FR" w:bidi="ar-SA"/>
              </w:rPr>
            </w:pPr>
            <w:r>
              <w:rPr>
                <w:b/>
                <w:kern w:val="0"/>
                <w:lang w:val="fr-FR" w:bidi="ar-SA"/>
              </w:rPr>
              <w:t xml:space="preserve">Le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120"/>
              <w:ind w:left="1206" w:right="0" w:hanging="0"/>
              <w:contextualSpacing/>
              <w:jc w:val="left"/>
              <w:rPr>
                <w:b/>
                <w:b/>
                <w:kern w:val="0"/>
                <w:lang w:val="fr-FR" w:bidi="ar-SA"/>
              </w:rPr>
            </w:pPr>
            <w:r>
              <w:rPr>
                <w:b/>
                <w:kern w:val="0"/>
                <w:lang w:val="fr-FR" w:bidi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120"/>
              <w:ind w:left="1206" w:right="0" w:hanging="0"/>
              <w:contextualSpacing/>
              <w:jc w:val="left"/>
              <w:rPr>
                <w:b/>
                <w:b/>
                <w:kern w:val="0"/>
                <w:lang w:val="fr-FR" w:bidi="ar-SA"/>
              </w:rPr>
            </w:pPr>
            <w:r>
              <w:rPr>
                <w:b/>
                <w:kern w:val="0"/>
                <w:lang w:val="fr-FR" w:bidi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120"/>
              <w:ind w:left="1206" w:right="0" w:hanging="0"/>
              <w:contextualSpacing/>
              <w:jc w:val="left"/>
              <w:rPr>
                <w:b/>
                <w:b/>
                <w:kern w:val="0"/>
                <w:lang w:val="fr-FR" w:bidi="ar-SA"/>
              </w:rPr>
            </w:pPr>
            <w:r>
              <w:rPr>
                <w:b/>
                <w:kern w:val="0"/>
                <w:lang w:val="fr-FR" w:bidi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120"/>
              <w:ind w:left="1206" w:right="0" w:hanging="0"/>
              <w:contextualSpacing/>
              <w:jc w:val="left"/>
              <w:rPr>
                <w:b/>
                <w:b/>
                <w:kern w:val="0"/>
                <w:lang w:val="fr-FR" w:bidi="ar-SA"/>
              </w:rPr>
            </w:pPr>
            <w:r>
              <w:rPr>
                <w:b/>
                <w:kern w:val="0"/>
                <w:lang w:val="fr-FR" w:bidi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120"/>
              <w:ind w:left="1206" w:right="0" w:hanging="0"/>
              <w:contextualSpacing/>
              <w:jc w:val="left"/>
              <w:rPr>
                <w:b/>
                <w:b/>
                <w:kern w:val="0"/>
                <w:lang w:val="fr-FR" w:bidi="ar-SA"/>
              </w:rPr>
            </w:pPr>
            <w:r>
              <w:rPr>
                <w:b/>
                <w:kern w:val="0"/>
                <w:lang w:val="fr-FR" w:bidi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120"/>
              <w:ind w:left="1206" w:right="0" w:hanging="0"/>
              <w:contextualSpacing/>
              <w:jc w:val="left"/>
              <w:rPr>
                <w:b/>
                <w:b/>
                <w:kern w:val="0"/>
                <w:lang w:val="fr-FR" w:bidi="ar-SA"/>
              </w:rPr>
            </w:pPr>
            <w:r>
              <w:rPr>
                <w:b/>
                <w:kern w:val="0"/>
                <w:lang w:val="fr-FR" w:bidi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120"/>
              <w:ind w:left="1206" w:right="0" w:hanging="0"/>
              <w:contextualSpacing/>
              <w:jc w:val="left"/>
              <w:rPr>
                <w:b/>
                <w:b/>
                <w:kern w:val="0"/>
                <w:lang w:val="fr-FR" w:bidi="ar-SA"/>
              </w:rPr>
            </w:pPr>
            <w:r>
              <w:rPr>
                <w:b/>
                <w:kern w:val="0"/>
                <w:lang w:val="fr-FR" w:bidi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120"/>
              <w:ind w:left="283" w:right="0" w:hanging="0"/>
              <w:contextualSpacing/>
              <w:jc w:val="left"/>
              <w:rPr>
                <w:b/>
                <w:b/>
                <w:kern w:val="0"/>
                <w:lang w:val="fr-FR" w:bidi="ar-SA"/>
              </w:rPr>
            </w:pPr>
            <w:r>
              <w:rPr>
                <w:b/>
                <w:kern w:val="0"/>
                <w:lang w:val="fr-FR" w:bidi="ar-SA"/>
              </w:rPr>
              <w:t>Nom, Prénom et qualité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120"/>
              <w:ind w:left="283" w:right="0" w:hanging="0"/>
              <w:contextualSpacing/>
              <w:jc w:val="left"/>
              <w:rPr>
                <w:b/>
                <w:b/>
                <w:kern w:val="0"/>
                <w:lang w:val="fr-FR" w:bidi="ar-SA"/>
              </w:rPr>
            </w:pPr>
            <w:r>
              <w:rPr>
                <w:b/>
                <w:kern w:val="0"/>
                <w:lang w:val="fr-FR" w:bidi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120"/>
              <w:ind w:left="283" w:right="0" w:hanging="0"/>
              <w:contextualSpacing/>
              <w:jc w:val="left"/>
              <w:rPr>
                <w:b/>
                <w:b/>
                <w:kern w:val="0"/>
                <w:lang w:val="fr-FR" w:bidi="ar-SA"/>
              </w:rPr>
            </w:pPr>
            <w:r>
              <w:rPr>
                <w:b/>
                <w:kern w:val="0"/>
                <w:lang w:val="fr-FR" w:bidi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120"/>
              <w:ind w:left="283" w:right="0" w:hanging="0"/>
              <w:contextualSpacing/>
              <w:jc w:val="left"/>
              <w:rPr>
                <w:b/>
                <w:b/>
                <w:kern w:val="0"/>
                <w:lang w:val="fr-FR" w:bidi="ar-SA"/>
              </w:rPr>
            </w:pPr>
            <w:r>
              <w:rPr>
                <w:b/>
                <w:kern w:val="0"/>
                <w:lang w:val="fr-FR" w:bidi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120"/>
              <w:ind w:left="1206" w:right="0" w:hanging="0"/>
              <w:contextualSpacing/>
              <w:jc w:val="left"/>
              <w:rPr>
                <w:b/>
                <w:b/>
                <w:kern w:val="0"/>
                <w:lang w:val="fr-FR" w:bidi="ar-SA"/>
              </w:rPr>
            </w:pPr>
            <w:r>
              <w:rPr>
                <w:b/>
                <w:kern w:val="0"/>
                <w:lang w:val="fr-FR" w:bidi="ar-SA"/>
              </w:rPr>
            </w:r>
          </w:p>
        </w:tc>
      </w:tr>
    </w:tbl>
    <w:p>
      <w:pPr>
        <w:pStyle w:val="Normal"/>
        <w:bidi w:val="0"/>
        <w:spacing w:before="0" w:after="120"/>
        <w:ind w:left="0" w:right="0" w:hanging="0"/>
        <w:jc w:val="left"/>
        <w:rPr>
          <w:rStyle w:val="Policepardfaut"/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u w:val="single"/>
          <w:lang w:bidi="ar-SA"/>
        </w:rPr>
      </w:pPr>
      <w:r>
        <w:rPr>
          <w:rFonts w:eastAsia="Times New Roman" w:cs="Times New Roman" w:ascii="Times New Roman" w:hAnsi="Times New Roman"/>
          <w:b/>
          <w:bCs/>
          <w:u w:val="single"/>
          <w:lang w:bidi="ar-SA"/>
        </w:rPr>
      </w:r>
    </w:p>
    <w:sectPr>
      <w:headerReference w:type="default" r:id="rId3"/>
      <w:type w:val="continuous"/>
      <w:pgSz w:w="11906" w:h="16838"/>
      <w:pgMar w:left="1134" w:right="1134" w:header="1134" w:top="1927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uppressAutoHyphens w:val="true"/>
      <w:bidi w:val="0"/>
      <w:spacing w:before="0" w:after="0"/>
      <w:jc w:val="left"/>
      <w:rPr>
        <w:b/>
        <w:b/>
        <w:i/>
        <w:i/>
        <w:kern w:val="0"/>
        <w:sz w:val="22"/>
        <w:szCs w:val="22"/>
        <w:lang w:val="fr-FR" w:bidi="ar-SA"/>
      </w:rPr>
    </w:pPr>
    <w:r>
      <w:rPr>
        <w:b/>
        <w:i/>
        <w:kern w:val="0"/>
        <w:sz w:val="22"/>
        <w:szCs w:val="22"/>
        <w:lang w:val="fr-FR" w:bidi="ar-SA"/>
      </w:rPr>
      <w:t>Convention LISTE MATIERES CYNODEX</w:t>
    </w:r>
  </w:p>
  <w:p>
    <w:pPr>
      <w:pStyle w:val="Entte"/>
      <w:widowControl w:val="false"/>
      <w:suppressAutoHyphens w:val="true"/>
      <w:bidi w:val="0"/>
      <w:spacing w:before="0" w:after="0"/>
      <w:jc w:val="right"/>
      <w:rPr>
        <w:b/>
        <w:b/>
        <w:i/>
        <w:i/>
        <w:kern w:val="0"/>
        <w:sz w:val="22"/>
        <w:szCs w:val="22"/>
        <w:lang w:val="fr-FR" w:bidi="ar-SA"/>
      </w:rPr>
    </w:pPr>
    <w:r>
      <w:rPr>
        <w:b/>
        <w:i/>
        <w:kern w:val="0"/>
        <w:sz w:val="22"/>
        <w:szCs w:val="22"/>
        <w:lang w:val="fr-FR" w:bidi="ar-SA"/>
      </w:rPr>
      <w:t>Annexe  3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uppressAutoHyphens w:val="true"/>
      <w:bidi w:val="0"/>
      <w:spacing w:before="0" w:after="0"/>
      <w:jc w:val="left"/>
      <w:rPr>
        <w:b/>
        <w:b/>
        <w:i/>
        <w:i/>
        <w:kern w:val="0"/>
        <w:sz w:val="22"/>
        <w:szCs w:val="22"/>
        <w:lang w:val="fr-FR" w:bidi="ar-SA"/>
      </w:rPr>
    </w:pPr>
    <w:r>
      <w:rPr>
        <w:b/>
        <w:i/>
        <w:kern w:val="0"/>
        <w:sz w:val="22"/>
        <w:szCs w:val="22"/>
        <w:lang w:val="fr-FR" w:bidi="ar-SA"/>
      </w:rPr>
      <w:t>Convention LISTE MATIERES CYNODEX</w:t>
    </w:r>
  </w:p>
  <w:p>
    <w:pPr>
      <w:pStyle w:val="Entte"/>
      <w:widowControl w:val="false"/>
      <w:suppressAutoHyphens w:val="true"/>
      <w:bidi w:val="0"/>
      <w:spacing w:before="0" w:after="0"/>
      <w:jc w:val="right"/>
      <w:rPr>
        <w:b/>
        <w:b/>
        <w:i/>
        <w:i/>
        <w:kern w:val="0"/>
        <w:sz w:val="22"/>
        <w:szCs w:val="22"/>
        <w:lang w:val="fr-FR" w:bidi="ar-SA"/>
      </w:rPr>
    </w:pPr>
    <w:r>
      <w:rPr>
        <w:b/>
        <w:i/>
        <w:kern w:val="0"/>
        <w:sz w:val="22"/>
        <w:szCs w:val="22"/>
        <w:lang w:val="fr-FR" w:bidi="ar-SA"/>
      </w:rPr>
      <w:t>Annexe  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1134"/>
  <w:autoHyphenation w:val="true"/>
  <w:compat>
    <w:doNotExpandShiftReturn/>
    <w:compatSetting w:name="compatibilityMode" w:uri="http://schemas.microsoft.com/office/word" w:val="15"/>
  </w:compat>
  <w:documentProtection w:edit="forms" w:enforcement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egoe UI" w:cs="Tahoma"/>
      <w:color w:val="000000"/>
      <w:sz w:val="24"/>
      <w:szCs w:val="24"/>
      <w:lang w:val="fr-FR" w:eastAsia="zh-CN" w:bidi="hi-IN"/>
    </w:rPr>
  </w:style>
  <w:style w:type="paragraph" w:styleId="Titre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spacing w:before="240" w:after="0"/>
      <w:jc w:val="center"/>
      <w:outlineLvl w:val="0"/>
    </w:pPr>
    <w:rPr>
      <w:rFonts w:cs="Arial"/>
      <w:bCs/>
      <w:caps/>
    </w:rPr>
  </w:style>
  <w:style w:type="paragraph" w:styleId="Titre2">
    <w:name w:val="Heading 2"/>
    <w:basedOn w:val="ListParagraph"/>
    <w:next w:val="Normal"/>
    <w:qFormat/>
    <w:pPr>
      <w:numPr>
        <w:ilvl w:val="0"/>
        <w:numId w:val="0"/>
      </w:numPr>
      <w:tabs>
        <w:tab w:val="clear" w:pos="1134"/>
        <w:tab w:val="left" w:pos="1004" w:leader="none"/>
      </w:tabs>
      <w:spacing w:before="240" w:after="120"/>
      <w:ind w:left="720" w:right="0" w:hanging="0"/>
      <w:outlineLvl w:val="0"/>
    </w:pPr>
    <w:rPr/>
  </w:style>
  <w:style w:type="character" w:styleId="Policepardfaut">
    <w:name w:val="Police par défaut"/>
    <w:qFormat/>
    <w:rPr/>
  </w:style>
  <w:style w:type="character" w:styleId="DefaultParagraphFont">
    <w:name w:val="Default Paragraph Font"/>
    <w:qFormat/>
    <w:rPr/>
  </w:style>
  <w:style w:type="character" w:styleId="Titre2Car">
    <w:name w:val="Titre 2 Car"/>
    <w:basedOn w:val="DefaultParagraphFont"/>
    <w:qFormat/>
    <w:rPr>
      <w:rFonts w:ascii="Times New Roman" w:hAnsi="Times New Roman" w:eastAsia="Times New Roman" w:cs="Times New Roman"/>
      <w:sz w:val="24"/>
      <w:szCs w:val="20"/>
      <w:lang w:eastAsia="fr-FR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00000A"/>
      <w:sz w:val="24"/>
      <w:szCs w:val="24"/>
      <w:lang w:bidi="ar-SA" w:val="fr-FR" w:eastAsia="zh-CN"/>
    </w:rPr>
  </w:style>
  <w:style w:type="paragraph" w:styleId="SNSignatureDroite">
    <w:name w:val="SNSignatureDroite"/>
    <w:basedOn w:val="Standard"/>
    <w:qFormat/>
    <w:pPr>
      <w:tabs>
        <w:tab w:val="clear" w:pos="1134"/>
      </w:tabs>
      <w:suppressAutoHyphens w:val="true"/>
      <w:spacing w:before="120" w:after="1680"/>
      <w:ind w:left="5040" w:right="0" w:hanging="0"/>
      <w:jc w:val="right"/>
    </w:pPr>
    <w:rPr>
      <w:color w:val="000000"/>
    </w:rPr>
  </w:style>
  <w:style w:type="paragraph" w:styleId="SNSignatureprnomnomDroite">
    <w:name w:val="SNSignature prénom+nom Droite"/>
    <w:basedOn w:val="SNSignatureDroite"/>
    <w:qFormat/>
    <w:pPr>
      <w:suppressAutoHyphens w:val="true"/>
      <w:spacing w:before="0" w:after="120"/>
      <w:ind w:left="5041" w:right="0" w:hanging="0"/>
    </w:pPr>
    <w:rPr/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52" w:before="0" w:after="160"/>
      <w:jc w:val="left"/>
    </w:pPr>
    <w:rPr>
      <w:rFonts w:ascii="Calibri" w:hAnsi="Calibri" w:eastAsia="Calibri" w:cs="SimSun"/>
      <w:color w:val="auto"/>
      <w:kern w:val="0"/>
      <w:sz w:val="22"/>
      <w:szCs w:val="22"/>
      <w:lang w:val="fr-FR" w:eastAsia="en-US" w:bidi="ar-SA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oSpacing">
    <w:name w:val="No Spacing"/>
    <w:basedOn w:val="Titre1"/>
    <w:qFormat/>
    <w:pPr>
      <w:numPr>
        <w:ilvl w:val="0"/>
        <w:numId w:val="2"/>
      </w:numPr>
      <w:spacing w:before="240" w:after="240"/>
      <w:jc w:val="both"/>
    </w:pPr>
    <w:rPr>
      <w:sz w:val="26"/>
      <w:szCs w:val="26"/>
    </w:rPr>
  </w:style>
  <w:style w:type="paragraph" w:styleId="ListParagraph">
    <w:name w:val="List Paragraph"/>
    <w:basedOn w:val="Normal"/>
    <w:qFormat/>
    <w:pPr>
      <w:spacing w:before="0" w:after="120"/>
      <w:ind w:left="720" w:right="0" w:hanging="0"/>
      <w:contextualSpacing/>
    </w:pPr>
    <w:rPr/>
  </w:style>
  <w:style w:type="paragraph" w:styleId="Entteetpieddepage">
    <w:name w:val="En-tête et pied de page"/>
    <w:basedOn w:val="Normal"/>
    <w:qFormat/>
    <w:pPr>
      <w:suppressLineNumbers/>
      <w:tabs>
        <w:tab w:val="clear" w:pos="1134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"/>
    <w:pPr>
      <w:tabs>
        <w:tab w:val="clear" w:pos="1134"/>
        <w:tab w:val="center" w:pos="4536" w:leader="none"/>
        <w:tab w:val="right" w:pos="9072" w:leader="none"/>
      </w:tabs>
      <w:spacing w:before="0" w:after="0"/>
    </w:pPr>
    <w:rPr/>
  </w:style>
  <w:style w:type="paragraph" w:styleId="Pieddepage">
    <w:name w:val="Footer"/>
    <w:basedOn w:val="Normal"/>
    <w:pPr>
      <w:tabs>
        <w:tab w:val="clear" w:pos="1134"/>
        <w:tab w:val="center" w:pos="4536" w:leader="none"/>
        <w:tab w:val="right" w:pos="9072" w:leader="none"/>
      </w:tabs>
      <w:spacing w:before="0" w:after="0"/>
    </w:pPr>
    <w:rPr/>
  </w:style>
  <w:style w:type="paragraph" w:styleId="Contenudetableau">
    <w:name w:val="Contenu de tableau"/>
    <w:basedOn w:val="Normal"/>
    <w:qFormat/>
    <w:pPr>
      <w:suppressLineNumbers/>
      <w:suppressAutoHyphens w:val="true"/>
    </w:pPr>
    <w:rPr/>
  </w:style>
  <w:style w:type="paragraph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Contenudecadre">
    <w:name w:val="Contenu de cadr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LibreOffice/7.1.8.1$Windows_X86_64 LibreOffice_project/e1f30c802c3269a1d052614453f260e49458c82c</Application>
  <AppVersion>15.0000</AppVersion>
  <Pages>2</Pages>
  <Words>413</Words>
  <Characters>2201</Characters>
  <CharactersWithSpaces>2608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2022-10-07T16:12:33Z</dcterms:created>
  <dc:creator/>
  <dc:description/>
  <dc:language>fr-FR</dc:language>
  <cp:lastModifiedBy/>
  <cp:revision>1</cp:revision>
  <dc:subject/>
  <dc:title/>
</cp:coreProperties>
</file>